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A0C92E" w14:textId="77777777" w:rsidR="0063758C" w:rsidRPr="009B6000" w:rsidRDefault="0063758C" w:rsidP="006375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9B6000">
        <w:rPr>
          <w:rFonts w:ascii="Times New Roman" w:hAnsi="Times New Roman" w:cs="Times New Roman"/>
          <w:b/>
          <w:bCs/>
          <w:sz w:val="28"/>
          <w:szCs w:val="28"/>
        </w:rPr>
        <w:t>Zakres wiedzy i umiejętności</w:t>
      </w:r>
    </w:p>
    <w:p w14:paraId="4F52D3E2" w14:textId="77777777" w:rsidR="0063758C" w:rsidRPr="009B6000" w:rsidRDefault="0063758C" w:rsidP="006375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6000">
        <w:rPr>
          <w:rFonts w:ascii="Times New Roman" w:hAnsi="Times New Roman" w:cs="Times New Roman"/>
          <w:b/>
          <w:bCs/>
          <w:sz w:val="28"/>
          <w:szCs w:val="28"/>
        </w:rPr>
        <w:t xml:space="preserve"> Konkursu Przedmiotowego z Matematyki</w:t>
      </w:r>
    </w:p>
    <w:p w14:paraId="37976DB4" w14:textId="77777777" w:rsidR="0063758C" w:rsidRPr="009B6000" w:rsidRDefault="0063758C" w:rsidP="006375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6000">
        <w:rPr>
          <w:rFonts w:ascii="Times New Roman" w:hAnsi="Times New Roman" w:cs="Times New Roman"/>
          <w:b/>
          <w:bCs/>
          <w:sz w:val="28"/>
          <w:szCs w:val="28"/>
        </w:rPr>
        <w:t xml:space="preserve">dla uczniów szkół podstawowych </w:t>
      </w:r>
    </w:p>
    <w:p w14:paraId="47585BBF" w14:textId="22DC774A" w:rsidR="0063758C" w:rsidRPr="009B6000" w:rsidRDefault="0063758C" w:rsidP="006375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6000">
        <w:rPr>
          <w:rFonts w:ascii="Times New Roman" w:hAnsi="Times New Roman" w:cs="Times New Roman"/>
          <w:b/>
          <w:bCs/>
          <w:sz w:val="28"/>
          <w:szCs w:val="28"/>
        </w:rPr>
        <w:t>w roku szkolnym 202</w:t>
      </w:r>
      <w:r w:rsidR="007F2507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9B6000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7F2507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23C4818F" w14:textId="77777777" w:rsidR="0063758C" w:rsidRDefault="0063758C" w:rsidP="006375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AB1641" w14:textId="0FD2066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Zakres umiejętności</w:t>
      </w:r>
      <w:r w:rsidR="004056E6">
        <w:rPr>
          <w:rFonts w:ascii="Times New Roman" w:hAnsi="Times New Roman" w:cs="Times New Roman"/>
          <w:sz w:val="24"/>
          <w:szCs w:val="24"/>
        </w:rPr>
        <w:t>:</w:t>
      </w:r>
    </w:p>
    <w:p w14:paraId="72818424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Sprawność rachunkowa.</w:t>
      </w:r>
    </w:p>
    <w:p w14:paraId="6DB752AF" w14:textId="77777777" w:rsidR="0063758C" w:rsidRDefault="0063758C" w:rsidP="0063758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Uczeń:</w:t>
      </w:r>
    </w:p>
    <w:p w14:paraId="2CEBFC49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1) wykonuje działania i wykorzystuje te umiejętności w sytuacjach praktycznych,</w:t>
      </w:r>
    </w:p>
    <w:p w14:paraId="743A47F8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2) weryfikuje i interpretuje otrzymane wyniki oraz ocenia sensowność rozwiązania.</w:t>
      </w:r>
    </w:p>
    <w:p w14:paraId="7AE7F1EC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Wykorzystanie i tworzenie informacji.</w:t>
      </w:r>
    </w:p>
    <w:p w14:paraId="2F38DC41" w14:textId="77777777" w:rsidR="0063758C" w:rsidRDefault="0063758C" w:rsidP="0063758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Uczeń:</w:t>
      </w:r>
    </w:p>
    <w:p w14:paraId="33666449" w14:textId="77777777" w:rsidR="0063758C" w:rsidRDefault="0063758C" w:rsidP="0063758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odczytuje, interpretuje i przetwarza dane przedstawione w różnej formie, </w:t>
      </w:r>
    </w:p>
    <w:p w14:paraId="7A22009C" w14:textId="77777777" w:rsidR="0063758C" w:rsidRDefault="0063758C" w:rsidP="0063758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interpretuje teksty o charakterze matematycznym oraz graficznie przedstawia</w:t>
      </w:r>
      <w:r>
        <w:rPr>
          <w:rFonts w:ascii="Times New Roman" w:hAnsi="Times New Roman" w:cs="Times New Roman"/>
          <w:sz w:val="24"/>
          <w:szCs w:val="24"/>
        </w:rPr>
        <w:br/>
        <w:t>dane,</w:t>
      </w:r>
    </w:p>
    <w:p w14:paraId="057E5471" w14:textId="77777777" w:rsidR="0063758C" w:rsidRDefault="0063758C" w:rsidP="0063758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używa języka matematycznego do opisu rozumowania i uzyskanych wyników.</w:t>
      </w:r>
    </w:p>
    <w:p w14:paraId="5A7A1897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Wykorzystanie i interpretowanie reprezentacji.</w:t>
      </w:r>
    </w:p>
    <w:p w14:paraId="190E32C6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Uczeń:</w:t>
      </w:r>
    </w:p>
    <w:p w14:paraId="50BE8835" w14:textId="77777777" w:rsidR="0063758C" w:rsidRDefault="0063758C" w:rsidP="0063758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używa prostych, dobrze znanych obiektów matematycznych, interpretuje pojęcia matematyczne i operuje obiektami matematycznymi,</w:t>
      </w:r>
    </w:p>
    <w:p w14:paraId="387C2E86" w14:textId="77777777" w:rsidR="0063758C" w:rsidRDefault="0063758C" w:rsidP="0063758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dobiera model matematyczny do prostej sytuacji oraz buduje go w różnych kontekstach, także w kontekście praktycznym. </w:t>
      </w:r>
    </w:p>
    <w:p w14:paraId="0F119948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Rozumowanie i argumentacja.</w:t>
      </w:r>
    </w:p>
    <w:p w14:paraId="31322763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Uczeń:</w:t>
      </w:r>
    </w:p>
    <w:p w14:paraId="6C1DDEB3" w14:textId="77777777" w:rsidR="0063758C" w:rsidRDefault="0063758C" w:rsidP="0063758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przeprowadza proste rozumowanie, podaje argumenty uzasadniające poprawność</w:t>
      </w:r>
      <w:r>
        <w:rPr>
          <w:rFonts w:ascii="Times New Roman" w:hAnsi="Times New Roman" w:cs="Times New Roman"/>
          <w:sz w:val="24"/>
          <w:szCs w:val="24"/>
        </w:rPr>
        <w:tab/>
        <w:t>rozumowania, rozróżnia dowód od przykładu,</w:t>
      </w:r>
    </w:p>
    <w:p w14:paraId="50F55BC8" w14:textId="77777777" w:rsidR="0063758C" w:rsidRDefault="0063758C" w:rsidP="0063758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dostrzega regularności, podobieństwa oraz analogie i formułuje wnioski na ich podstawie,</w:t>
      </w:r>
    </w:p>
    <w:p w14:paraId="6FCEF114" w14:textId="77777777" w:rsidR="0063758C" w:rsidRDefault="0063758C" w:rsidP="0063758C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stosuje strategię wynikającą z treści zadania, tworzy strategię rozwiązania problemu, również w rozwiązaniach wieloetapowych oraz w takich, które </w:t>
      </w:r>
      <w:r>
        <w:rPr>
          <w:rFonts w:ascii="Times New Roman" w:hAnsi="Times New Roman" w:cs="Times New Roman"/>
          <w:sz w:val="24"/>
          <w:szCs w:val="24"/>
        </w:rPr>
        <w:br/>
        <w:t>wymagają umiejętności łączenia wiedzy z różnych działów matematyki.</w:t>
      </w:r>
    </w:p>
    <w:p w14:paraId="71037BE8" w14:textId="77777777" w:rsidR="0063758C" w:rsidRDefault="0063758C" w:rsidP="0063758C">
      <w:pPr>
        <w:ind w:left="708"/>
        <w:rPr>
          <w:rFonts w:ascii="Times New Roman" w:hAnsi="Times New Roman" w:cs="Times New Roman"/>
          <w:sz w:val="24"/>
          <w:szCs w:val="24"/>
        </w:rPr>
      </w:pPr>
    </w:p>
    <w:p w14:paraId="033CC177" w14:textId="77777777" w:rsidR="009B6000" w:rsidRDefault="009B6000" w:rsidP="0063758C">
      <w:pPr>
        <w:ind w:left="708"/>
        <w:rPr>
          <w:rFonts w:ascii="Times New Roman" w:hAnsi="Times New Roman" w:cs="Times New Roman"/>
          <w:sz w:val="24"/>
          <w:szCs w:val="24"/>
        </w:rPr>
      </w:pPr>
    </w:p>
    <w:p w14:paraId="2DB565FF" w14:textId="074C4762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II. Zakres treści</w:t>
      </w:r>
      <w:r w:rsidR="004056E6">
        <w:rPr>
          <w:rFonts w:ascii="Times New Roman" w:hAnsi="Times New Roman" w:cs="Times New Roman"/>
          <w:sz w:val="24"/>
          <w:szCs w:val="24"/>
        </w:rPr>
        <w:t>:</w:t>
      </w:r>
    </w:p>
    <w:p w14:paraId="2316C513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Działania na liczbach naturalnych, całkowitych, wymiernych, podzielność liczb, NWD, </w:t>
      </w:r>
    </w:p>
    <w:p w14:paraId="3B9330C9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NWW, rzymski system zapisywania liczb</w:t>
      </w:r>
    </w:p>
    <w:p w14:paraId="18C3626B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Obliczenia praktyczne:</w:t>
      </w:r>
    </w:p>
    <w:p w14:paraId="1AA35CB8" w14:textId="77777777" w:rsidR="0063758C" w:rsidRDefault="0063758C" w:rsidP="0063758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wykonywanie prostych obliczeń zegarowych </w:t>
      </w:r>
    </w:p>
    <w:p w14:paraId="0828BB04" w14:textId="77777777" w:rsidR="0063758C" w:rsidRDefault="0063758C" w:rsidP="0063758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wykonywanie obliczeń kalendarzowych </w:t>
      </w:r>
    </w:p>
    <w:p w14:paraId="1D9B3676" w14:textId="77777777" w:rsidR="0063758C" w:rsidRDefault="0063758C" w:rsidP="0063758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odczytywanie temperatury (dodatnią i ujemną)</w:t>
      </w:r>
    </w:p>
    <w:p w14:paraId="66851492" w14:textId="77777777" w:rsidR="0063758C" w:rsidRDefault="0063758C" w:rsidP="0063758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zamiana i prawidłowe stosowanie jednostek długości, masy, prędkości</w:t>
      </w:r>
    </w:p>
    <w:p w14:paraId="1A731EBA" w14:textId="77777777" w:rsidR="0063758C" w:rsidRDefault="0063758C" w:rsidP="0063758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obliczanie rzeczywistej długość odcinka, gdy dana jest jego długość w skali oraz długość odcinka w skali, gdy dana jest jego rzeczywista długość;</w:t>
      </w:r>
    </w:p>
    <w:p w14:paraId="4D6E7872" w14:textId="77777777" w:rsidR="0063758C" w:rsidRDefault="0063758C" w:rsidP="0063758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sytuacji praktycznej obliczanie: drogi przy danej prędkości i czasie, prędkość przy danej drodze i czasie, czas przy danej drodze i prędkości oraz stosuje jednostki prędkości km/h i m/s.</w:t>
      </w:r>
    </w:p>
    <w:p w14:paraId="220F9411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Obliczenia procentowe. </w:t>
      </w:r>
    </w:p>
    <w:p w14:paraId="4AB0242C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Potęgi o podstawach wymiernych, w tym mnożenie i dzielenie potęg o tych samych </w:t>
      </w:r>
    </w:p>
    <w:p w14:paraId="62687736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podstawach lub wykładnikach.</w:t>
      </w:r>
    </w:p>
    <w:p w14:paraId="5CB23A8B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Pierwiastki w tym przekształcanie wyrażeń zawierających pierwiastki.</w:t>
      </w:r>
    </w:p>
    <w:p w14:paraId="01A2ABDF" w14:textId="2414E6AE" w:rsidR="00CE22D7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Działania na wyrażeniach algebraicznych.</w:t>
      </w:r>
      <w:r w:rsidR="00D33317">
        <w:rPr>
          <w:rFonts w:ascii="Times New Roman" w:hAnsi="Times New Roman" w:cs="Times New Roman"/>
          <w:sz w:val="24"/>
          <w:szCs w:val="24"/>
        </w:rPr>
        <w:br/>
      </w:r>
      <w:r w:rsidR="00786C7B" w:rsidRPr="00786C7B">
        <w:rPr>
          <w:rFonts w:ascii="Times New Roman" w:hAnsi="Times New Roman" w:cs="Times New Roman"/>
          <w:b/>
          <w:bCs/>
          <w:sz w:val="24"/>
          <w:szCs w:val="24"/>
        </w:rPr>
        <w:t>Dodatkowo</w:t>
      </w:r>
      <w:r w:rsidR="00786C7B">
        <w:rPr>
          <w:rFonts w:ascii="Times New Roman" w:hAnsi="Times New Roman" w:cs="Times New Roman"/>
          <w:sz w:val="24"/>
          <w:szCs w:val="24"/>
        </w:rPr>
        <w:t xml:space="preserve">: </w:t>
      </w:r>
      <w:r w:rsidR="00D33317">
        <w:rPr>
          <w:rFonts w:ascii="Times New Roman" w:hAnsi="Times New Roman" w:cs="Times New Roman"/>
          <w:sz w:val="24"/>
          <w:szCs w:val="24"/>
        </w:rPr>
        <w:t>Wyłączanie wspólnego czynnika poza nawias (III etap).</w:t>
      </w:r>
      <w:r w:rsidR="00CE22D7">
        <w:rPr>
          <w:rFonts w:ascii="Times New Roman" w:hAnsi="Times New Roman" w:cs="Times New Roman"/>
          <w:sz w:val="24"/>
          <w:szCs w:val="24"/>
        </w:rPr>
        <w:br/>
      </w:r>
      <w:r w:rsidR="00CE22D7">
        <w:rPr>
          <w:rFonts w:ascii="Times New Roman" w:hAnsi="Times New Roman" w:cs="Times New Roman"/>
          <w:sz w:val="24"/>
          <w:szCs w:val="24"/>
        </w:rPr>
        <w:tab/>
      </w:r>
      <w:r w:rsidR="00CE22D7">
        <w:rPr>
          <w:rFonts w:ascii="Times New Roman" w:hAnsi="Times New Roman" w:cs="Times New Roman"/>
          <w:sz w:val="24"/>
          <w:szCs w:val="24"/>
        </w:rPr>
        <w:tab/>
        <w:t>Wzory skróconego mnożenia (III etap):</w:t>
      </w:r>
      <w:r w:rsidR="00CE22D7">
        <w:rPr>
          <w:rFonts w:ascii="Times New Roman" w:hAnsi="Times New Roman" w:cs="Times New Roman"/>
          <w:sz w:val="24"/>
          <w:szCs w:val="24"/>
        </w:rPr>
        <w:br/>
      </w:r>
      <w:r w:rsidR="00CE22D7">
        <w:rPr>
          <w:rFonts w:ascii="Times New Roman" w:hAnsi="Times New Roman" w:cs="Times New Roman"/>
          <w:sz w:val="24"/>
          <w:szCs w:val="24"/>
        </w:rPr>
        <w:tab/>
      </w:r>
      <w:r w:rsidR="00CE22D7">
        <w:rPr>
          <w:rFonts w:ascii="Times New Roman" w:hAnsi="Times New Roman" w:cs="Times New Roman"/>
          <w:sz w:val="24"/>
          <w:szCs w:val="24"/>
        </w:rPr>
        <w:tab/>
      </w:r>
      <w:r w:rsidR="00CE22D7">
        <w:rPr>
          <w:rFonts w:ascii="Times New Roman" w:hAnsi="Times New Roman" w:cs="Times New Roman"/>
          <w:sz w:val="24"/>
          <w:szCs w:val="24"/>
        </w:rPr>
        <w:tab/>
      </w:r>
      <w:r w:rsidR="00CE22D7">
        <w:t>(a + b)2 = a2 + 2ab + b2</w:t>
      </w:r>
      <w:r w:rsidR="00CE22D7">
        <w:br/>
        <w:t xml:space="preserve">                                           (a - b)2 = a2 - 2ab + b2 </w:t>
      </w:r>
      <w:r w:rsidR="00CE22D7">
        <w:br/>
        <w:t xml:space="preserve">                                           (a + b)(a - b) = a2 - b2</w:t>
      </w:r>
    </w:p>
    <w:p w14:paraId="188C992F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Równania z jedną niewiadomą, zadania tekstowe z zastosowaniem równań. </w:t>
      </w:r>
    </w:p>
    <w:p w14:paraId="64DD6801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Proporcjonalność prosta, podział proporcjonalny.</w:t>
      </w:r>
    </w:p>
    <w:p w14:paraId="1CEBD697" w14:textId="3C439BBD" w:rsidR="0063758C" w:rsidRPr="00D33317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Figury geometryczne na płaszczyźnie; własności, obwody i pola powierzchni trójkątów </w:t>
      </w:r>
      <w:r>
        <w:rPr>
          <w:rFonts w:ascii="Times New Roman" w:hAnsi="Times New Roman" w:cs="Times New Roman"/>
          <w:sz w:val="24"/>
          <w:szCs w:val="24"/>
        </w:rPr>
        <w:br/>
        <w:t>i czworokątów. Twierdzenie Pitagorasa.</w:t>
      </w:r>
      <w:r w:rsidR="00BF76A1">
        <w:rPr>
          <w:rFonts w:ascii="Times New Roman" w:hAnsi="Times New Roman" w:cs="Times New Roman"/>
          <w:sz w:val="24"/>
          <w:szCs w:val="24"/>
        </w:rPr>
        <w:br/>
      </w:r>
      <w:r w:rsidR="00BF76A1" w:rsidRPr="00786C7B">
        <w:rPr>
          <w:rFonts w:ascii="Times New Roman" w:hAnsi="Times New Roman" w:cs="Times New Roman"/>
          <w:b/>
          <w:bCs/>
          <w:sz w:val="24"/>
          <w:szCs w:val="24"/>
        </w:rPr>
        <w:t>Dodatkowo</w:t>
      </w:r>
      <w:r w:rsidR="00BF76A1">
        <w:rPr>
          <w:rFonts w:ascii="Times New Roman" w:hAnsi="Times New Roman" w:cs="Times New Roman"/>
          <w:sz w:val="24"/>
          <w:szCs w:val="24"/>
        </w:rPr>
        <w:t xml:space="preserve">: </w:t>
      </w:r>
      <w:r w:rsidR="00BF76A1" w:rsidRPr="00BF76A1">
        <w:rPr>
          <w:rFonts w:ascii="Times New Roman" w:hAnsi="Times New Roman" w:cs="Times New Roman"/>
          <w:sz w:val="24"/>
          <w:szCs w:val="24"/>
        </w:rPr>
        <w:t>Twierdzenie odwrotne do twierdzenia Pitagorasa</w:t>
      </w:r>
      <w:r w:rsidR="00BF76A1">
        <w:rPr>
          <w:rFonts w:ascii="Times New Roman" w:hAnsi="Times New Roman" w:cs="Times New Roman"/>
          <w:sz w:val="24"/>
          <w:szCs w:val="24"/>
        </w:rPr>
        <w:t xml:space="preserve"> (II i III etap)</w:t>
      </w:r>
      <w:r w:rsidR="00BF76A1">
        <w:rPr>
          <w:rFonts w:ascii="Times New Roman" w:hAnsi="Times New Roman" w:cs="Times New Roman"/>
          <w:sz w:val="24"/>
          <w:szCs w:val="24"/>
        </w:rPr>
        <w:br/>
        <w:t xml:space="preserve">                      </w:t>
      </w:r>
      <w:r w:rsidR="00D33317">
        <w:rPr>
          <w:rFonts w:ascii="Times New Roman" w:hAnsi="Times New Roman" w:cs="Times New Roman"/>
          <w:sz w:val="24"/>
          <w:szCs w:val="24"/>
        </w:rPr>
        <w:t>Kąty o mierze 30</w:t>
      </w:r>
      <w:r w:rsidR="00D3331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D33317">
        <w:rPr>
          <w:rFonts w:ascii="Times New Roman" w:hAnsi="Times New Roman" w:cs="Times New Roman"/>
          <w:sz w:val="24"/>
          <w:szCs w:val="24"/>
        </w:rPr>
        <w:t>, 45</w:t>
      </w:r>
      <w:r w:rsidR="00D3331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D33317">
        <w:rPr>
          <w:rFonts w:ascii="Times New Roman" w:hAnsi="Times New Roman" w:cs="Times New Roman"/>
          <w:sz w:val="24"/>
          <w:szCs w:val="24"/>
        </w:rPr>
        <w:t>, 60</w:t>
      </w:r>
      <w:r w:rsidR="00D3331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786C7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786C7B" w:rsidRPr="00786C7B">
        <w:rPr>
          <w:rFonts w:ascii="Times New Roman" w:hAnsi="Times New Roman" w:cs="Times New Roman"/>
          <w:sz w:val="24"/>
          <w:szCs w:val="24"/>
        </w:rPr>
        <w:t>i ich związki miarowe w trójkątach prostokątnych</w:t>
      </w:r>
      <w:r w:rsidR="00D3331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786C7B">
        <w:rPr>
          <w:rFonts w:ascii="Times New Roman" w:hAnsi="Times New Roman" w:cs="Times New Roman"/>
          <w:sz w:val="24"/>
          <w:szCs w:val="24"/>
          <w:vertAlign w:val="superscript"/>
        </w:rPr>
        <w:br/>
      </w:r>
      <w:bookmarkStart w:id="1" w:name="_Hlk207775958"/>
      <w:r w:rsidR="00BF76A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D33317">
        <w:rPr>
          <w:rFonts w:ascii="Times New Roman" w:hAnsi="Times New Roman" w:cs="Times New Roman"/>
          <w:sz w:val="24"/>
          <w:szCs w:val="24"/>
        </w:rPr>
        <w:t>(II</w:t>
      </w:r>
      <w:r w:rsidR="00786C7B">
        <w:rPr>
          <w:rFonts w:ascii="Times New Roman" w:hAnsi="Times New Roman" w:cs="Times New Roman"/>
          <w:sz w:val="24"/>
          <w:szCs w:val="24"/>
        </w:rPr>
        <w:t xml:space="preserve"> i III</w:t>
      </w:r>
      <w:r w:rsidR="00D33317">
        <w:rPr>
          <w:rFonts w:ascii="Times New Roman" w:hAnsi="Times New Roman" w:cs="Times New Roman"/>
          <w:sz w:val="24"/>
          <w:szCs w:val="24"/>
        </w:rPr>
        <w:t xml:space="preserve"> etap)</w:t>
      </w:r>
      <w:bookmarkEnd w:id="1"/>
    </w:p>
    <w:p w14:paraId="1E942BBC" w14:textId="77777777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Oś liczbowa. </w:t>
      </w:r>
    </w:p>
    <w:p w14:paraId="355E8CB6" w14:textId="22A65D0E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Pole powierzchni i objętość graniastosłupów</w:t>
      </w:r>
      <w:r w:rsidR="00CE22D7">
        <w:rPr>
          <w:rFonts w:ascii="Times New Roman" w:hAnsi="Times New Roman" w:cs="Times New Roman"/>
          <w:sz w:val="24"/>
          <w:szCs w:val="24"/>
        </w:rPr>
        <w:t xml:space="preserve"> prostych</w:t>
      </w:r>
      <w:r w:rsidR="00BF76A1">
        <w:rPr>
          <w:rFonts w:ascii="Times New Roman" w:hAnsi="Times New Roman" w:cs="Times New Roman"/>
          <w:sz w:val="24"/>
          <w:szCs w:val="24"/>
        </w:rPr>
        <w:t xml:space="preserve"> (III etap)</w:t>
      </w:r>
    </w:p>
    <w:p w14:paraId="2B75A627" w14:textId="112CB1C9" w:rsidR="00BF76A1" w:rsidRDefault="00BF76A1" w:rsidP="00BF76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Pole powierzchni i objętość ostrosłupów (III etap)</w:t>
      </w:r>
    </w:p>
    <w:p w14:paraId="0748EB8D" w14:textId="5B73E508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F76A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Elementy statystyki opisowej.</w:t>
      </w:r>
      <w:r w:rsidR="00D33317">
        <w:rPr>
          <w:rFonts w:ascii="Times New Roman" w:hAnsi="Times New Roman" w:cs="Times New Roman"/>
          <w:sz w:val="24"/>
          <w:szCs w:val="24"/>
        </w:rPr>
        <w:br/>
      </w:r>
      <w:r w:rsidR="00786C7B" w:rsidRPr="00786C7B">
        <w:rPr>
          <w:rFonts w:ascii="Times New Roman" w:hAnsi="Times New Roman" w:cs="Times New Roman"/>
          <w:b/>
          <w:bCs/>
          <w:sz w:val="24"/>
          <w:szCs w:val="24"/>
        </w:rPr>
        <w:t>Dodatkowo</w:t>
      </w:r>
      <w:r w:rsidR="00786C7B">
        <w:rPr>
          <w:rFonts w:ascii="Times New Roman" w:hAnsi="Times New Roman" w:cs="Times New Roman"/>
          <w:sz w:val="24"/>
          <w:szCs w:val="24"/>
        </w:rPr>
        <w:t xml:space="preserve">: </w:t>
      </w:r>
      <w:r w:rsidR="00D33317">
        <w:rPr>
          <w:rFonts w:ascii="Times New Roman" w:hAnsi="Times New Roman" w:cs="Times New Roman"/>
          <w:sz w:val="24"/>
          <w:szCs w:val="24"/>
        </w:rPr>
        <w:t>Mediana (III etap)</w:t>
      </w:r>
    </w:p>
    <w:p w14:paraId="13813400" w14:textId="01F2CC7B" w:rsidR="0063758C" w:rsidRDefault="0063758C" w:rsidP="00637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056E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Zadania na dowodzenie.</w:t>
      </w:r>
    </w:p>
    <w:p w14:paraId="717170BF" w14:textId="77777777" w:rsidR="00BF76A1" w:rsidRDefault="00BF76A1" w:rsidP="0063758C">
      <w:pPr>
        <w:rPr>
          <w:rFonts w:ascii="Times New Roman" w:hAnsi="Times New Roman" w:cs="Times New Roman"/>
          <w:sz w:val="24"/>
          <w:szCs w:val="24"/>
        </w:rPr>
      </w:pPr>
    </w:p>
    <w:p w14:paraId="77A82B99" w14:textId="77777777" w:rsidR="00786C7B" w:rsidRPr="00786C7B" w:rsidRDefault="00786C7B" w:rsidP="00786C7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6C7B">
        <w:rPr>
          <w:rFonts w:ascii="Times New Roman" w:hAnsi="Times New Roman" w:cs="Times New Roman"/>
          <w:b/>
          <w:bCs/>
          <w:sz w:val="24"/>
          <w:szCs w:val="24"/>
        </w:rPr>
        <w:lastRenderedPageBreak/>
        <w:t>Uwagi:</w:t>
      </w:r>
    </w:p>
    <w:p w14:paraId="099D76E9" w14:textId="77777777" w:rsidR="00786C7B" w:rsidRPr="00786C7B" w:rsidRDefault="00786C7B" w:rsidP="00786C7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86C7B">
        <w:rPr>
          <w:rFonts w:ascii="Times New Roman" w:hAnsi="Times New Roman" w:cs="Times New Roman"/>
          <w:b/>
          <w:bCs/>
          <w:sz w:val="24"/>
          <w:szCs w:val="24"/>
        </w:rPr>
        <w:t xml:space="preserve">Ocena zadań otwartych obejmuje  poprawność zapisu i uzasadnienie odpowiedzi. </w:t>
      </w:r>
    </w:p>
    <w:p w14:paraId="78E77287" w14:textId="77777777" w:rsidR="00786C7B" w:rsidRDefault="00786C7B" w:rsidP="00786C7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86C7B">
        <w:rPr>
          <w:rFonts w:ascii="Times New Roman" w:hAnsi="Times New Roman" w:cs="Times New Roman"/>
          <w:b/>
          <w:bCs/>
          <w:sz w:val="24"/>
          <w:szCs w:val="24"/>
        </w:rPr>
        <w:t xml:space="preserve">Uczestnicy nie mogą korzystać z kalkulatorów. </w:t>
      </w:r>
    </w:p>
    <w:p w14:paraId="4CBA6ADF" w14:textId="6B73BE42" w:rsidR="00FD3D6E" w:rsidRDefault="00786C7B" w:rsidP="00181B09">
      <w:pPr>
        <w:pStyle w:val="Akapitzlist"/>
        <w:numPr>
          <w:ilvl w:val="0"/>
          <w:numId w:val="2"/>
        </w:numPr>
      </w:pPr>
      <w:r w:rsidRPr="00786C7B">
        <w:rPr>
          <w:rFonts w:ascii="Times New Roman" w:hAnsi="Times New Roman" w:cs="Times New Roman"/>
          <w:b/>
          <w:bCs/>
          <w:sz w:val="24"/>
          <w:szCs w:val="24"/>
        </w:rPr>
        <w:t xml:space="preserve">Uczniowie przynoszą na eliminacje wszystkich stopni przybory do pisania </w:t>
      </w:r>
      <w:r w:rsidRPr="00786C7B">
        <w:rPr>
          <w:rFonts w:ascii="Times New Roman" w:hAnsi="Times New Roman" w:cs="Times New Roman"/>
          <w:b/>
          <w:bCs/>
          <w:sz w:val="24"/>
          <w:szCs w:val="24"/>
        </w:rPr>
        <w:br/>
        <w:t xml:space="preserve">z niebieskim wkładem oraz przybory do geometrii: linijkę, ekierkę, cyrkiel. Zabrania się używania długopisu z czarnym tuszem, ołówków i korektorów. </w:t>
      </w:r>
    </w:p>
    <w:sectPr w:rsidR="00FD3D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FF44E5"/>
    <w:multiLevelType w:val="hybridMultilevel"/>
    <w:tmpl w:val="99A289D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7F290C82"/>
    <w:multiLevelType w:val="hybridMultilevel"/>
    <w:tmpl w:val="195E7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58C"/>
    <w:rsid w:val="001211DD"/>
    <w:rsid w:val="00292640"/>
    <w:rsid w:val="004056E6"/>
    <w:rsid w:val="004E76E5"/>
    <w:rsid w:val="00552053"/>
    <w:rsid w:val="0063758C"/>
    <w:rsid w:val="00786C7B"/>
    <w:rsid w:val="007F2507"/>
    <w:rsid w:val="00951877"/>
    <w:rsid w:val="009B6000"/>
    <w:rsid w:val="00A62A49"/>
    <w:rsid w:val="00BF76A1"/>
    <w:rsid w:val="00C34778"/>
    <w:rsid w:val="00CE22D7"/>
    <w:rsid w:val="00D33317"/>
    <w:rsid w:val="00FD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7EB62"/>
  <w15:chartTrackingRefBased/>
  <w15:docId w15:val="{5C19E8CA-7267-45B8-82E2-C728DBF69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758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75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2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527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M</dc:creator>
  <cp:keywords/>
  <dc:description/>
  <cp:lastModifiedBy>Konto Microsoft</cp:lastModifiedBy>
  <cp:revision>2</cp:revision>
  <dcterms:created xsi:type="dcterms:W3CDTF">2025-09-10T11:07:00Z</dcterms:created>
  <dcterms:modified xsi:type="dcterms:W3CDTF">2025-09-10T11:07:00Z</dcterms:modified>
</cp:coreProperties>
</file>